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1475" w14:textId="2F4E3F8A" w:rsidR="00633434" w:rsidRDefault="009F662B" w:rsidP="00633434">
      <w:pPr>
        <w:jc w:val="center"/>
        <w:rPr>
          <w:b/>
          <w:color w:val="2F5496" w:themeColor="accent5" w:themeShade="BF"/>
          <w:sz w:val="48"/>
          <w:szCs w:val="48"/>
        </w:rPr>
      </w:pPr>
      <w:r>
        <w:rPr>
          <w:noProof/>
          <w:lang w:eastAsia="pl-PL"/>
        </w:rPr>
        <w:drawing>
          <wp:inline distT="0" distB="0" distL="0" distR="0" wp14:anchorId="67E84FB2" wp14:editId="3F0B98AB">
            <wp:extent cx="6300000" cy="536057"/>
            <wp:effectExtent l="0" t="0" r="571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000" cy="53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3A54B" w14:textId="77777777" w:rsidR="00633434" w:rsidRPr="00633434" w:rsidRDefault="00633434" w:rsidP="00633434">
      <w:pPr>
        <w:jc w:val="center"/>
        <w:rPr>
          <w:b/>
          <w:color w:val="2F5496" w:themeColor="accent5" w:themeShade="BF"/>
          <w:sz w:val="40"/>
          <w:szCs w:val="40"/>
        </w:rPr>
      </w:pPr>
    </w:p>
    <w:p w14:paraId="0E891174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 xml:space="preserve">Analiza potrzeb i wymagań dla projektów hybrydowych </w:t>
      </w:r>
      <w:r w:rsidRPr="00013C64">
        <w:rPr>
          <w:b/>
          <w:color w:val="000000" w:themeColor="text1"/>
          <w:sz w:val="40"/>
          <w:szCs w:val="40"/>
        </w:rPr>
        <w:br/>
        <w:t>z sektora efektywności energetycznej dla Projektu:</w:t>
      </w:r>
    </w:p>
    <w:p w14:paraId="3B6F5580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>[…]</w:t>
      </w:r>
    </w:p>
    <w:p w14:paraId="392FD87B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>[…]</w:t>
      </w:r>
    </w:p>
    <w:p w14:paraId="7B90BD5F" w14:textId="77777777" w:rsidR="00633434" w:rsidRPr="00013C64" w:rsidRDefault="00633434" w:rsidP="00633434">
      <w:pPr>
        <w:jc w:val="center"/>
        <w:rPr>
          <w:color w:val="000000" w:themeColor="text1"/>
        </w:rPr>
      </w:pPr>
    </w:p>
    <w:p w14:paraId="7ABDEBC8" w14:textId="77777777" w:rsidR="00633434" w:rsidRPr="00A902E2" w:rsidRDefault="00633434" w:rsidP="00633434">
      <w:pPr>
        <w:rPr>
          <w:b/>
          <w:color w:val="000000" w:themeColor="text1"/>
          <w:sz w:val="28"/>
          <w:szCs w:val="28"/>
        </w:rPr>
      </w:pPr>
      <w:r w:rsidRPr="00A902E2">
        <w:rPr>
          <w:b/>
          <w:color w:val="000000" w:themeColor="text1"/>
          <w:sz w:val="28"/>
          <w:szCs w:val="28"/>
        </w:rPr>
        <w:t>Załącznik nr 1 – Matryca ryzyk</w:t>
      </w:r>
    </w:p>
    <w:p w14:paraId="425685C7" w14:textId="34545B1B" w:rsidR="00633434" w:rsidRPr="00013C64" w:rsidRDefault="00633434" w:rsidP="00633434">
      <w:pPr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</w:pPr>
      <w:r w:rsidRPr="00013C64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DLA WNIOSKODAWCÓW UBIEGAJĄCYCH SIĘ O WSPARCIE W RAMACH FE</w:t>
      </w:r>
      <w:r w:rsidR="00CD072A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M</w:t>
      </w:r>
      <w:r w:rsidRPr="00013C64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 xml:space="preserve"> 2021-2027</w:t>
      </w:r>
    </w:p>
    <w:p w14:paraId="612F93EB" w14:textId="01CBA764" w:rsidR="00CD072A" w:rsidRPr="009F662B" w:rsidRDefault="00CD072A" w:rsidP="009F662B">
      <w:pPr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9F662B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Priorytet II Fundusze Europejskie na zielony rozwój Mazowsza</w:t>
      </w:r>
    </w:p>
    <w:p w14:paraId="7AA143C3" w14:textId="7A76C1DB" w:rsidR="00CD072A" w:rsidRDefault="00633434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  <w:r w:rsidRPr="00013C64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Działanie:</w:t>
      </w:r>
      <w:r w:rsidRPr="00013C64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2.1 </w:t>
      </w:r>
      <w:r w:rsidR="00CD072A" w:rsidRPr="00CD072A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Efektywność energetyczna</w:t>
      </w:r>
      <w:r w:rsidR="00CD072A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</w:t>
      </w:r>
    </w:p>
    <w:p w14:paraId="6EDA7026" w14:textId="701B7F01" w:rsidR="00CD072A" w:rsidRDefault="00CD072A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  <w: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T</w:t>
      </w:r>
      <w:r w:rsidRPr="00CD072A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yp projektu: Poprawa efektywności energetycznej budynków publicznych i mieszkalnych</w:t>
      </w:r>
      <w:r w:rsidRPr="00CD072A" w:rsidDel="00CD072A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</w:t>
      </w:r>
    </w:p>
    <w:p w14:paraId="1FFA8BC0" w14:textId="77777777" w:rsidR="009F662B" w:rsidRDefault="009F662B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6CA32185" w14:textId="77777777" w:rsidR="009F662B" w:rsidRDefault="009F662B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34197C46" w14:textId="77777777" w:rsidR="009F662B" w:rsidRDefault="009F662B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24805175" w14:textId="77777777" w:rsidR="009F662B" w:rsidRDefault="009F662B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498A282B" w14:textId="77777777" w:rsidR="009F662B" w:rsidRPr="00013C64" w:rsidRDefault="009F662B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0F65FA2B" w14:textId="77777777" w:rsidR="00633434" w:rsidRDefault="00633434" w:rsidP="00633434">
      <w:pPr>
        <w:rPr>
          <w:b/>
        </w:rPr>
      </w:pPr>
    </w:p>
    <w:tbl>
      <w:tblPr>
        <w:tblW w:w="4962" w:type="pct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single" w:sz="4" w:space="0" w:color="F4B083" w:themeColor="accent2" w:themeTint="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6"/>
        <w:gridCol w:w="1339"/>
        <w:gridCol w:w="2186"/>
        <w:gridCol w:w="2269"/>
        <w:gridCol w:w="4908"/>
      </w:tblGrid>
      <w:tr w:rsidR="00633434" w:rsidRPr="00C5114A" w14:paraId="57738D92" w14:textId="77777777" w:rsidTr="00013C64">
        <w:trPr>
          <w:trHeight w:val="255"/>
        </w:trPr>
        <w:tc>
          <w:tcPr>
            <w:tcW w:w="1147" w:type="pct"/>
            <w:shd w:val="clear" w:color="auto" w:fill="C45911" w:themeFill="accent2" w:themeFillShade="BF"/>
            <w:vAlign w:val="center"/>
            <w:hideMark/>
          </w:tcPr>
          <w:p w14:paraId="563AF05A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Ryzyko</w:t>
            </w:r>
          </w:p>
        </w:tc>
        <w:tc>
          <w:tcPr>
            <w:tcW w:w="482" w:type="pct"/>
            <w:shd w:val="clear" w:color="auto" w:fill="C45911" w:themeFill="accent2" w:themeFillShade="BF"/>
            <w:vAlign w:val="center"/>
            <w:hideMark/>
          </w:tcPr>
          <w:p w14:paraId="2E239765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Siła Wpływu</w:t>
            </w:r>
          </w:p>
        </w:tc>
        <w:tc>
          <w:tcPr>
            <w:tcW w:w="787" w:type="pct"/>
            <w:shd w:val="clear" w:color="auto" w:fill="C45911" w:themeFill="accent2" w:themeFillShade="BF"/>
            <w:vAlign w:val="center"/>
            <w:hideMark/>
          </w:tcPr>
          <w:p w14:paraId="2673CA58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Prawdopodobieństwo</w:t>
            </w:r>
          </w:p>
        </w:tc>
        <w:tc>
          <w:tcPr>
            <w:tcW w:w="817" w:type="pct"/>
            <w:shd w:val="clear" w:color="auto" w:fill="C45911" w:themeFill="accent2" w:themeFillShade="BF"/>
            <w:vAlign w:val="center"/>
            <w:hideMark/>
          </w:tcPr>
          <w:p w14:paraId="432664D7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Rodzaj ryzyka</w:t>
            </w:r>
          </w:p>
        </w:tc>
        <w:tc>
          <w:tcPr>
            <w:tcW w:w="1767" w:type="pct"/>
            <w:shd w:val="clear" w:color="auto" w:fill="C45911" w:themeFill="accent2" w:themeFillShade="BF"/>
            <w:vAlign w:val="center"/>
          </w:tcPr>
          <w:p w14:paraId="59F8704B" w14:textId="77777777" w:rsidR="00C5114A" w:rsidRPr="00C5114A" w:rsidRDefault="00C5114A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</w:p>
          <w:p w14:paraId="1E47AE43" w14:textId="489D6A00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Sposoby mitygacji</w:t>
            </w:r>
          </w:p>
          <w:p w14:paraId="32F761E6" w14:textId="77777777" w:rsidR="00C5114A" w:rsidRPr="00C5114A" w:rsidRDefault="00C5114A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</w:p>
        </w:tc>
      </w:tr>
      <w:tr w:rsidR="00D4631A" w:rsidRPr="00633434" w14:paraId="4662BE69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70AEBC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Ryzyko niewłaściwego określenia warunków brzegowych Projektu (oczekiwań wobec partnerów prywatnych)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9045E6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7A5795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22CF11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3511E98E" w14:textId="38B43079" w:rsidR="00D4631A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rojektu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  <w:p w14:paraId="33A261AF" w14:textId="77777777" w:rsidR="00D4631A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012A148B" w14:textId="72AA8847" w:rsidR="007600C3" w:rsidRPr="00633434" w:rsidRDefault="00D4631A" w:rsidP="007600C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rozeznania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rynk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656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potencjalnych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partnerów prywatnych i precyzyjne określenie posiadanych przez nich oczekiwań</w:t>
            </w:r>
            <w:r w:rsidR="00BF4D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wobec Projektu</w:t>
            </w:r>
            <w:r w:rsidR="007600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oraz ewentualne dostosowanie Projektu do przedstawionych oczekiwań.</w:t>
            </w:r>
          </w:p>
        </w:tc>
      </w:tr>
      <w:tr w:rsidR="00D4631A" w:rsidRPr="00633434" w14:paraId="26051F1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52F988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określenia niewłaściwego przedmiotu zamówienia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DFBB5A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C73D6F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30B077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3EF25E77" w14:textId="6A1397DB" w:rsidR="00D4631A" w:rsidRPr="00552AA5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  <w:p w14:paraId="392A477B" w14:textId="73068BC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oraz testowania rynku, a ponadto określenie proporcjonalnych warunków dopuszczenia do udziału w postępowaniu oraz kryteriów oceny ofert, adekwatnych do celów Projektu</w:t>
            </w:r>
          </w:p>
        </w:tc>
      </w:tr>
      <w:tr w:rsidR="00D4631A" w:rsidRPr="00633434" w14:paraId="55D53C0C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85797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sposobu i jakości prowadzenia postępowania przez Podmiot Publiczny w tym postępowania o wybór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490823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6E18C7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5D5B81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23036F65" w14:textId="1C10BE4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Powołanie zespołu wdrożeniowego w strukturach Podmiotu Publicznego (zespołu ds. PPP)</w:t>
            </w:r>
          </w:p>
        </w:tc>
      </w:tr>
      <w:tr w:rsidR="00D4631A" w:rsidRPr="00633434" w14:paraId="12277493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06D87B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błędnego określenia wstępnych parametrów robót budowlanych oraz wskazanie nieadekwatnych technologii i rozwiązań funkcjonalnych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4FBDB1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D10949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02218A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2C850B16" w14:textId="77642F3F" w:rsidR="00D4631A" w:rsidRPr="003B24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Przedsięwzięcia</w:t>
            </w:r>
          </w:p>
          <w:p w14:paraId="7718EC20" w14:textId="045EA1FB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rynku potencjalnych partnerów prywatnych</w:t>
            </w:r>
          </w:p>
        </w:tc>
      </w:tr>
      <w:tr w:rsidR="00D4631A" w:rsidRPr="00633434" w14:paraId="12272A25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EAFE3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błędnej metodyki obliczania gwarantowanych oszczędności / zużycia energii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CA7282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3BCD26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DE0E9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10723B3C" w14:textId="0D1F8F1B" w:rsidR="00D4631A" w:rsidRPr="003B24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  <w:p w14:paraId="3864E80E" w14:textId="677308A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oraz testowania rynku potencjalnych partnerów prywatnych</w:t>
            </w:r>
          </w:p>
        </w:tc>
      </w:tr>
      <w:tr w:rsidR="00D4631A" w:rsidRPr="00633434" w14:paraId="188136F2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38884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wyboru niewłaściwego trybu postępowania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759227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218B5C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A74528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5B8F035F" w14:textId="3B31660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</w:tc>
      </w:tr>
      <w:tr w:rsidR="00D4631A" w:rsidRPr="00633434" w14:paraId="576E89AD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02596D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uchylania się partnera prywatnego od zawarcia umowy po wyborze najkorzystniejszej oferty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D178C8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B77884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3B53A6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4A8E7D6D" w14:textId="1CC0FE6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Wyznaczenie precyzyjnego harmonogramu postępowania na wybór partnera prywatnego, zgodnie z u.p.z.p.</w:t>
            </w:r>
          </w:p>
        </w:tc>
      </w:tr>
      <w:tr w:rsidR="00D4631A" w:rsidRPr="00633434" w14:paraId="4CB30CC1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6A48BD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środków finansowych ze strony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195705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D03FDD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D2E167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C1FD81F" w14:textId="41FFB42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Wymaganie warunków kredytowych na etapie składania ofert oraz określenie w umowie obowiązku zapewnienia płynności finansowej przedsięwzięcia i skutków naruszenia tego obowiązku</w:t>
            </w:r>
          </w:p>
        </w:tc>
      </w:tr>
      <w:tr w:rsidR="00D4631A" w:rsidRPr="00633434" w14:paraId="1D01366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BFD2C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błędnych założeń projektowych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AAA4C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24CE9B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BAEA29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59F580A" w14:textId="46B3D9E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Audyt opracowywanej dokumentacji oraz dopuszczenie w umowie możliwości optymalizacji istniejącej dokumentacji projektowej a ponadto</w:t>
            </w:r>
            <w:r w:rsidR="00201E3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664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zaangażowanie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Partnera Prywatnego przez Podmiot Publiczny w </w:t>
            </w:r>
            <w:r w:rsidR="003664CC"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pozyskiwani</w:t>
            </w:r>
            <w:r w:rsidR="003664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  <w:r w:rsidR="003664CC"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danych wyjściowych, informacja zwrotna do Podmiotu Publicznego o nieścisłościach </w:t>
            </w:r>
            <w:r w:rsidR="00013C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dokumentacji technicznej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już na etapie ofertowym</w:t>
            </w:r>
          </w:p>
        </w:tc>
      </w:tr>
      <w:tr w:rsidR="00D4631A" w:rsidRPr="00633434" w14:paraId="42C0554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291AF5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wymagań projektowych na etapie projektowania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9FF87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AF841C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0FFCD4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3072E4CD" w14:textId="7A964CA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Jak najwcześniejsze rozpoczęcie prac projektowych oraz dopuszczenie w umowie możliwości optymalizacji istniejącej dokumentacji projektowej</w:t>
            </w:r>
          </w:p>
        </w:tc>
      </w:tr>
      <w:tr w:rsidR="00D4631A" w:rsidRPr="00633434" w14:paraId="47E7A2FF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7955A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w dokumentacji projektowej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7AE0C8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B229D2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9F30D4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C50194F" w14:textId="0540CC21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projektuj i buduj.</w:t>
            </w:r>
          </w:p>
        </w:tc>
      </w:tr>
      <w:tr w:rsidR="00D4631A" w:rsidRPr="00633434" w14:paraId="76496B84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C64EC6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nieuzyskania wymaganych pozwoleń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6CED8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285979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BA3454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1A4B1E5" w14:textId="60DB49D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Wsparcie Partnera Prywatnego przez Podmiot Publiczny w procesie pozyskiwania pozwoleń opinii, uzgodnień.</w:t>
            </w:r>
          </w:p>
        </w:tc>
      </w:tr>
      <w:tr w:rsidR="00D4631A" w:rsidRPr="00633434" w14:paraId="66120EC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9AE922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opóźnienia w zakończeniu robót budowlanych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92A9F7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33561D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1F7505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02AD9821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Cykliczne monitorowanie postępów w realizacji wraz z kontrolą zgodności z dokumentacją projektową – np. powołanie zespołu nadzoru nad realizacją Projektu</w:t>
            </w:r>
          </w:p>
          <w:p w14:paraId="58B1EB66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Odpowiednie planowanie i zarządzanie na etapie realizacji inwestycji uniemożliwiające wydłużanie się harmonogramu rzeczowo-finansowego</w:t>
            </w:r>
          </w:p>
          <w:p w14:paraId="3CA097DA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niedotrzymania terminów zakończenia etapu inwestycyjnego, np. kar umownych</w:t>
            </w:r>
          </w:p>
          <w:p w14:paraId="27D30921" w14:textId="09C8720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katalogu działań w wypadku</w:t>
            </w:r>
            <w:r w:rsidR="00013C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opóźnień </w:t>
            </w: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niezawinionych przez strony</w:t>
            </w:r>
          </w:p>
        </w:tc>
      </w:tr>
      <w:tr w:rsidR="00D4631A" w:rsidRPr="00633434" w14:paraId="0436A8DB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DCECA2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związane ze stanem prawnym nieruchomości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12F1C4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75CBA4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B62A0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8E0BE0D" w14:textId="1E5A2AD8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w ramach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analizy prawnej Przedsięwzięcia</w:t>
            </w:r>
          </w:p>
          <w:p w14:paraId="41C02ACC" w14:textId="00E7B37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zmiany zakresu Przedsięwzięcia na etapie robót</w:t>
            </w:r>
          </w:p>
        </w:tc>
      </w:tr>
      <w:tr w:rsidR="00D4631A" w:rsidRPr="00633434" w14:paraId="543B6A79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FF89D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wymagań projektowych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FC867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6282B9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1BE1F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29384522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Dopuszczenie możliwości optymalizacji istniejącej dokumentacji projektowej</w:t>
            </w:r>
          </w:p>
          <w:p w14:paraId="1EB9AD55" w14:textId="6EC0DFBF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zmiany wymagań projektowych Przedsięwzięcia na etapie robót</w:t>
            </w:r>
          </w:p>
        </w:tc>
      </w:tr>
      <w:tr w:rsidR="00D4631A" w:rsidRPr="00633434" w14:paraId="3351E667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670809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niezgodności robót z warunkami dotyczącymi ustalonych standardów wykonania robót budowlanych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501280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8683C0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1D2A8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98736E5" w14:textId="686181D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Uregulowanie w umowie zasad nadzoru i odbiorów robót, wskazanie terminów na dokonanie przez partnera prywatnego usunięcia wad istotnych i nieistotnych wykonanych robót budowlanych oraz określenie kar umownych za niewykonanie lub niewłaściwe wykonanie robót budowlanych</w:t>
            </w:r>
          </w:p>
        </w:tc>
      </w:tr>
      <w:tr w:rsidR="00D4631A" w:rsidRPr="00633434" w14:paraId="6E86DEF2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800D6E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ubezpieczeniowe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40714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A4738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9456EE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7BB7BBC" w14:textId="68E1F61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Wybór doświadczonego Partnera Prywatnego. Dobre przygotowanie organizacyjne budowy (zawarcie stosownych postanowień w umowie). Odpowiedni zakres umów ubezpieczenia.</w:t>
            </w:r>
          </w:p>
        </w:tc>
      </w:tr>
      <w:tr w:rsidR="00D4631A" w:rsidRPr="00633434" w14:paraId="7F98194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723C94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niedoszacowania wartości robót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2EE4B4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ACB383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1376F4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6B457C5" w14:textId="330B6D1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 przez Podmiot Publiczny</w:t>
            </w:r>
          </w:p>
        </w:tc>
      </w:tr>
      <w:tr w:rsidR="00D4631A" w:rsidRPr="00633434" w14:paraId="7993564F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90E844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wzrostu kosztów materiałów/usług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CF43B6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098BCF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94EB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223FC50" w14:textId="40C020F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Optymalizacja na etapie tworzenia harmonogramu (np. zamawianie materiałów z odpowiednim wyprzedzeniem)</w:t>
            </w:r>
            <w:r w:rsidR="008F74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</w:t>
            </w:r>
            <w:r w:rsidR="008F74E0"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zastosowanie mechanizmów waloryzacji Wynagrodzenia Partnera Prywatnego</w:t>
            </w:r>
          </w:p>
        </w:tc>
      </w:tr>
      <w:tr w:rsidR="00D4631A" w:rsidRPr="00633434" w14:paraId="0939F599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4631F5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 warunkami geologicznymi, geotechnicznymi i hydrologicznymi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9B541C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9A8BF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9D27C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0AEEE0FD" w14:textId="09C6449C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 przez Podmiot Publiczny ze względu na charakter inwestycji</w:t>
            </w:r>
          </w:p>
        </w:tc>
      </w:tr>
      <w:tr w:rsidR="00D4631A" w:rsidRPr="00633434" w14:paraId="386106CC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F8F9E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 odkryciami archeologicznymi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3B091F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7DCF17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227832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0DF0F76" w14:textId="503546E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ryzyka.</w:t>
            </w:r>
          </w:p>
        </w:tc>
      </w:tr>
      <w:tr w:rsidR="00D4631A" w:rsidRPr="00633434" w14:paraId="71DB66D5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D4E8D5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 warunkami meteorologicznymi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991E6A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4B562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36330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0504107" w14:textId="06DBF8C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umowie należy przewidzieć obowiązek utrzymywania przez Podmiot Publiczny umowy ubezpieczenia obiektów na wypadek wystąpienia skutków tego ryzyka w postaci uszkodzenia obiektów.</w:t>
            </w:r>
          </w:p>
        </w:tc>
      </w:tr>
      <w:tr w:rsidR="00D4631A" w:rsidRPr="00633434" w14:paraId="57AB5956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904E98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wypadków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C8076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750DF2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48CE20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3DC2106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Wybór doświadczonego Partnera Prywatnego stosującego wysokie standardy BHP i p.poż.</w:t>
            </w:r>
          </w:p>
          <w:p w14:paraId="6BC74B94" w14:textId="6EEBC5EF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Bieżąca kontrola bezpieczeństwa robót budowlanych. W umowie należy przewidzieć obowiązek utrzymywania przez Partnera Prywatnego ubezpieczenia odpowiedzialności cywilnej na wypadek wystąpienia wypadków.</w:t>
            </w:r>
          </w:p>
        </w:tc>
      </w:tr>
      <w:tr w:rsidR="00D4631A" w:rsidRPr="00633434" w14:paraId="122186A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38F19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braku zasobów ludzkich i materialnych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DAB41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83C713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1CFF2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619E54A1" w14:textId="380AA222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projektuj i buduj. Brak możliwości mitygacji ryzyka przez Podmiot Publiczny. Określenie kar umownych za zwłokę w zakończeniu robót budowlanych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1917BBCF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B373F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fizycznych lub prawnych zmniejszających wartość lub użyteczność środka trwałego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198AA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8D919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BBD9F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492A6D9" w14:textId="3B56EEE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kar umownych za niewykonanie lub niewłaściwe wykonanie robót budowlanych</w:t>
            </w:r>
          </w:p>
        </w:tc>
      </w:tr>
      <w:tr w:rsidR="00D4631A" w:rsidRPr="00633434" w14:paraId="3F2A443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E8CBA0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odbiorem robót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7C9A9D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E8543E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98B6BA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24ADEB58" w14:textId="6112BBE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Uregulowanie w umowie zasad nadzoru i odbiorów robót, wskazanie terminów na dokonanie przez partnera prywatnego, powołanie inspektora/ów nadzoru inwestorskiego usunięcia wad istotnych i nieistotnych wykonanych robót budowlanych</w:t>
            </w:r>
          </w:p>
        </w:tc>
      </w:tr>
      <w:tr w:rsidR="00D4631A" w:rsidRPr="00633434" w14:paraId="141C3497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388DDF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udziałem podwykonawców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4B8CFC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1071C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8E49C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559764D" w14:textId="0DF6C400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Weryfikacja zaplecza kadrowego oraz kondycji finansowej podwykonawców</w:t>
            </w:r>
          </w:p>
        </w:tc>
      </w:tr>
      <w:tr w:rsidR="00D4631A" w:rsidRPr="00633434" w14:paraId="5185FB9F" w14:textId="77777777" w:rsidTr="00013C64">
        <w:trPr>
          <w:trHeight w:val="102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91A41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niemożliwością uzyskania lub przedłużenia lub opóźnieniami w wydawaniu pozwoleń, zezwoleń, decyzji, koncesji, licencji lub certyfikatów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F40376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9AEDD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BA264F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6126E1C0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Wsparcie Partnera Prywatnego przez Podmiot Publiczny w procesie pozyskiwania pozwoleń opinii, uzgodnień.</w:t>
            </w:r>
          </w:p>
          <w:p w14:paraId="6008ED57" w14:textId="2BAF7FE2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Konieczność zapewnienia przez Partnera Prywatnego odpowiedniego personelu, odpowiedzialnego za rzetelne przygotowanie dokumentacji niezbędnej do uzyskania wymaganych pozwoleń, zezwoleń, decyzji, koncesji, licencji lub certyfikatów</w:t>
            </w:r>
          </w:p>
        </w:tc>
      </w:tr>
      <w:tr w:rsidR="00D4631A" w:rsidRPr="00633434" w14:paraId="345B0DA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C12D483" w14:textId="288E768B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Ryzyko niemożliwości dostarczenia usług o określonej jakości i </w:t>
            </w:r>
            <w:r w:rsidR="00241E54"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określonych</w:t>
            </w: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standardach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96F5F9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0B2C79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5A004B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62DA104B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w umowie obowiązku dokonywania cyklicznego przeglądu stanu utrzymania zmodernizowanej infrastruktury</w:t>
            </w:r>
          </w:p>
          <w:p w14:paraId="62B00548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do stosowania określonych materiałów i rozwiązań technicznych z dopuszczeniem stosowania rozwiązań równoważnych</w:t>
            </w:r>
          </w:p>
          <w:p w14:paraId="15C7748C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zasad naprawienia szkód w infrastrukturze, za które ponosi odpowiedzialność dana strona</w:t>
            </w:r>
          </w:p>
          <w:p w14:paraId="26E18293" w14:textId="1FCEED1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Określenie zasad reagowania na awarie i usterki powstałe w obiekcie w trakcie fazy utrzymania i zarządzania Projektu</w:t>
            </w:r>
          </w:p>
        </w:tc>
      </w:tr>
      <w:tr w:rsidR="00D4631A" w:rsidRPr="00633434" w14:paraId="58653558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428A29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nieuzyskania oszczędności w zużyciu energii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5F2D85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0627F1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DB3388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F8C6756" w14:textId="49D9322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Przewidzenie w umowie klauzul w zakresie obniżenia wynagrodzenia Partnera Prywatnego w przypadku nieuzyskania oszczędności w oparciu o metodologię obliczenia oszczędności.</w:t>
            </w:r>
          </w:p>
        </w:tc>
      </w:tr>
      <w:tr w:rsidR="00D4631A" w:rsidRPr="00633434" w14:paraId="14CD4787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DBC486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środków finansowych po stronie publicznej na wynagrodzenie za dostępność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B32BD0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489DFE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85F633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1E6E9EC2" w14:textId="1C4CDAB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Przewidzenie w Uchwale budżetowej oraz Wieloletniej Prognozie Finansowej odpowiednich środków na wynagrodzenie Partnera Prywatnego, wskazanie w Umowie o PPP, że Podmiot Publiczny zabezpieczył wymagane środki na realizacje Przedsięwzięcia, zastosowanie mechanizmów waloryzacji Wynagrodzenia Partnera Prywatnego.</w:t>
            </w:r>
          </w:p>
        </w:tc>
      </w:tr>
      <w:tr w:rsidR="00D4631A" w:rsidRPr="00633434" w14:paraId="1B2DABCA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23DD1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brakiem zgodności z ogólnymi przepisami bezpieczeństwa i higieny pracy oraz Polskimi Normami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8A36B3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05501F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839F4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15879468" w14:textId="77777777" w:rsidR="00D4631A" w:rsidRPr="002468D0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mitygacji, ryzyka przez Podmiot Publiczny.</w:t>
            </w:r>
          </w:p>
          <w:p w14:paraId="326D038B" w14:textId="0D551414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w umowie do usuwania uchybień na jego koszt bez możliwości zwiększenia wynagrodzenia.</w:t>
            </w:r>
          </w:p>
        </w:tc>
      </w:tr>
      <w:tr w:rsidR="00D4631A" w:rsidRPr="00633434" w14:paraId="0CF1A2D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224120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wzrostu kosztów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CD3EEA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978712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C99232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29E68E66" w14:textId="3CE4ACC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utrzymuj.  Przewidzenie w umowie klauzul waloryzacyjnych zgodnie z art. 439 u.p.z.p.</w:t>
            </w:r>
          </w:p>
        </w:tc>
      </w:tr>
      <w:tr w:rsidR="00D4631A" w:rsidRPr="00633434" w14:paraId="06CC7934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01E0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ze zmianami technologicznymi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C1D2D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673A47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D790E2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08217685" w14:textId="501BD46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Dokładne przemyślenie zakresu żądania zmian pod kątem ich niezbędności i adekwatności.</w:t>
            </w:r>
          </w:p>
        </w:tc>
      </w:tr>
      <w:tr w:rsidR="00D4631A" w:rsidRPr="00633434" w14:paraId="5A41B5A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D526BC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zasobów ludzkich i materialnych na etapie utrzymania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DFE5B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217C0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44C27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8A0C210" w14:textId="1456D9C9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utrzymuj.</w:t>
            </w:r>
          </w:p>
        </w:tc>
      </w:tr>
      <w:tr w:rsidR="00D4631A" w:rsidRPr="00633434" w14:paraId="6F8D115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5E3B43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niewłaściwego utrzymania lub zarządzania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B84AF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C58B91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2C27A7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9E19E92" w14:textId="61B8C25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utrzymuj</w:t>
            </w:r>
          </w:p>
        </w:tc>
      </w:tr>
      <w:tr w:rsidR="00D4631A" w:rsidRPr="00633434" w14:paraId="1D10859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1E0242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ukrytych robót ujawnionych w okresie eksploatacji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ED8DB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05FADE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19EF1E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39B2D7E0" w14:textId="06402B2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w umowie stosownych klauzul umożliwiających zastosowanie wobec Partnera Prywatnego określonych sankcji finansowych w postaci kar umownych lub obniżenia wynagrodzenia</w:t>
            </w:r>
          </w:p>
        </w:tc>
      </w:tr>
      <w:tr w:rsidR="00D4631A" w:rsidRPr="00633434" w14:paraId="2569D262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DE2BEB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zniszczenia środków trwałych lub ich wyposażenia lub awarii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EBA39E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94D510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62B47A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556882AC" w14:textId="1AFF877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w Umowie o PPP do zawarcia stosowanego ubezpieczenia.</w:t>
            </w:r>
          </w:p>
        </w:tc>
      </w:tr>
      <w:tr w:rsidR="00D4631A" w:rsidRPr="00633434" w14:paraId="6F1439FA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7B8C18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aktów wandalizmu 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5E566A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C9F21B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FDDC4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39C253C3" w14:textId="702BFE74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Podmiot Publiczny rezerw środków pieniężnych przez cały okres inwestycji- w tym na etapie utrzymania i zarządzania inwestycją oraz ubezpieczenie budynków na wypadek wystąpienia szkód będących skutkiem aktów wandalizmu</w:t>
            </w:r>
          </w:p>
        </w:tc>
      </w:tr>
      <w:tr w:rsidR="00D4631A" w:rsidRPr="00633434" w14:paraId="0FF109CD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601195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 zakresie własności elementów składników środka trwałego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336F43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E434C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6DF78E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062D3904" w14:textId="574AC6C1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modyfikacji zakresu obowiązków stron na etapie utrzymania i zarządzania.</w:t>
            </w:r>
          </w:p>
        </w:tc>
      </w:tr>
      <w:tr w:rsidR="00D4631A" w:rsidRPr="00633434" w14:paraId="301668B5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11AB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zmiany przeznaczenia obiektów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9EF354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8DB1A8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895F9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5DF8A645" w14:textId="77777777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modyfikacji zakresu obowiązków stron na etapie utrzymania i zarządzania.</w:t>
            </w:r>
          </w:p>
          <w:p w14:paraId="0C9AF785" w14:textId="270F9409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zmiany umowy w zakresie poziomu Gwarantowanych Oszczędności m.in. w przypadku zmiany sposobu przeznaczenia budynków</w:t>
            </w:r>
          </w:p>
        </w:tc>
      </w:tr>
      <w:tr w:rsidR="00D4631A" w:rsidRPr="00633434" w14:paraId="74C160A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6BBB4D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udziałem podwykonawców na etapie utrzymania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A160BE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AD273C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6B181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62B27F0F" w14:textId="75E773D0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Weryfikacja zaplecza kadrowego oraz kondycji finansowej podwykonawców</w:t>
            </w:r>
          </w:p>
        </w:tc>
      </w:tr>
      <w:tr w:rsidR="00D4631A" w:rsidRPr="00633434" w14:paraId="1313CDA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9A4D5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nieuzgodnionej z Partnerem Prywatnym samodzielnej ingerencji w system zarządzania energią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AC220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A20B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C96BCF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DDC2F6A" w14:textId="37F5E4C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zmiany umowy w zakresie poziomu Gwarantowanych Oszczędności. Wprowadzenie możliwości modyfikacji zakresu obowiązków stron na etapie utrzymania i zarządzania</w:t>
            </w:r>
          </w:p>
        </w:tc>
      </w:tr>
      <w:tr w:rsidR="00D4631A" w:rsidRPr="00633434" w14:paraId="2C7C3E8E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9C43DF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zewnętrznych zdarzeń nadzwyczajnych, niemożliwych do przewidzenia i zapobieżenia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88A8B4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60D9B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31FCB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75D5F746" w14:textId="417BC2F0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7AD86557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5789D6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wejścia do strefy euro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F3AA39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7A30D1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53AADA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3723FE1D" w14:textId="21C88EB3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inwestora rezerw środków pieniężnych przez cały okres inwestycji- w tym na etapie utrzymania i zarządzania inwestycją</w:t>
            </w:r>
          </w:p>
        </w:tc>
      </w:tr>
      <w:tr w:rsidR="00D4631A" w:rsidRPr="00633434" w14:paraId="780E2263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AB4AD6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zmiany celów politycznych (ryzyko polityczne)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06CE00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BDB01F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BE785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6BF383A4" w14:textId="222BDDCB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77D2BEC0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14A1A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siły wyższej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2F6581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F9E84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F5034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23045237" w14:textId="5CEF42A7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6F9E6C68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AECC37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zmiany stóp procentowych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81450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E50D59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E20241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1215F681" w14:textId="4AEB3E38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do umowy PPP opcjonalnego uprawnienia dla Podmiotu Publicznego, które umożliwi żądanie od partnera prywatnego ustanowienia zabezpieczenia ryzyka zmiany stóp procentowych w formie transakcji zabezpieczających na różnych etapach rwania umowy PPP. Należy jednak pamiętać, iż koszty transakcji zabezpieczających dodatkowo obciążą Podmiot Publiczny.</w:t>
            </w:r>
          </w:p>
        </w:tc>
      </w:tr>
      <w:tr w:rsidR="00D4631A" w:rsidRPr="00633434" w14:paraId="3CD65A9F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BB1BEC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 przepisach prawnych mających wpływ na realizację Projektu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CF1A36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D16739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15D6B8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17F2132D" w14:textId="0355F6E1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ryzka przez Podmiot Publiczny poza aktami prawa miejscowego.</w:t>
            </w:r>
          </w:p>
        </w:tc>
      </w:tr>
      <w:tr w:rsidR="00D4631A" w:rsidRPr="00633434" w14:paraId="187E28B6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65F653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prowadzenia sporów pomiędzy stronami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4BAFEE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4D2549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403E8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55076A19" w14:textId="06B7B813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Cykliczne monitorowanie postępów w realizacji umowy. Zatrudnienie wykwalifikowanej kadry. Określenie w umowie sposobu rozstrzygania sporów – skorzystanie z mediacji lub arbitrażu. Ustanowienie niezależnego inżyniera.</w:t>
            </w:r>
          </w:p>
        </w:tc>
      </w:tr>
      <w:tr w:rsidR="00D4631A" w:rsidRPr="00633434" w14:paraId="098C659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AEC899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prowadzenia sporów z podwykonawcami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F68080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509C78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338094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67C84859" w14:textId="6D7C9E25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 możliwości mitygacji ryzyka przez Podmiot Publiczny. W umowie należy przewidzieć obowiązek informacyjny o braku solidarnej odpowiedzialności inwestora za wypłatę wynagrodzenia należnego podwykonawcom, zgodnie z art. 7b u.p.p.p.</w:t>
            </w:r>
          </w:p>
        </w:tc>
      </w:tr>
      <w:tr w:rsidR="00D4631A" w:rsidRPr="00633434" w14:paraId="1089C032" w14:textId="77777777" w:rsidTr="00013C64">
        <w:trPr>
          <w:trHeight w:val="523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A21EA8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inflacji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22E4DD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56D68C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15895A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shd w:val="clear" w:color="auto" w:fill="auto"/>
            <w:vAlign w:val="center"/>
          </w:tcPr>
          <w:p w14:paraId="7E72ADFD" w14:textId="0DF828A5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umowie należy przewidzieć mechanizmy dokonywania waloryzacji wynagrodzenia Partnera Prywatnego na etapie utrzymania i zarządzania, w szczególności zmian określonych w art. 439 u.p.z.p.</w:t>
            </w:r>
          </w:p>
        </w:tc>
      </w:tr>
      <w:tr w:rsidR="00D4631A" w:rsidRPr="00633434" w14:paraId="71B6600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F9EE6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podatkowe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DF405E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5937B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5EC74F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4B50B180" w14:textId="659DE58A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Podmiot Publiczny rezerw środków pieniężnych przez cały okres inwestycji- w tym na etapie utrzymania i zarządzania inwestycją</w:t>
            </w:r>
          </w:p>
        </w:tc>
      </w:tr>
    </w:tbl>
    <w:p w14:paraId="7C8FC9C8" w14:textId="77777777" w:rsidR="00633434" w:rsidRDefault="00633434"/>
    <w:sectPr w:rsidR="00633434" w:rsidSect="00E311F1">
      <w:foot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AEDD" w14:textId="77777777" w:rsidR="00E311F1" w:rsidRDefault="00E311F1" w:rsidP="00633434">
      <w:pPr>
        <w:spacing w:line="240" w:lineRule="auto"/>
      </w:pPr>
      <w:r>
        <w:separator/>
      </w:r>
    </w:p>
  </w:endnote>
  <w:endnote w:type="continuationSeparator" w:id="0">
    <w:p w14:paraId="64EE43AA" w14:textId="77777777" w:rsidR="00E311F1" w:rsidRDefault="00E311F1" w:rsidP="006334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599185"/>
      <w:docPartObj>
        <w:docPartGallery w:val="Page Numbers (Bottom of Page)"/>
        <w:docPartUnique/>
      </w:docPartObj>
    </w:sdtPr>
    <w:sdtContent>
      <w:p w14:paraId="4B13BB89" w14:textId="77777777" w:rsidR="00633434" w:rsidRDefault="006334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E54">
          <w:rPr>
            <w:noProof/>
          </w:rPr>
          <w:t>2</w:t>
        </w:r>
        <w:r>
          <w:fldChar w:fldCharType="end"/>
        </w:r>
      </w:p>
    </w:sdtContent>
  </w:sdt>
  <w:p w14:paraId="4F0E43DF" w14:textId="77777777" w:rsidR="00633434" w:rsidRDefault="00633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0893C" w14:textId="77777777" w:rsidR="00E311F1" w:rsidRDefault="00E311F1" w:rsidP="00633434">
      <w:pPr>
        <w:spacing w:line="240" w:lineRule="auto"/>
      </w:pPr>
      <w:r>
        <w:separator/>
      </w:r>
    </w:p>
  </w:footnote>
  <w:footnote w:type="continuationSeparator" w:id="0">
    <w:p w14:paraId="30E7486F" w14:textId="77777777" w:rsidR="00E311F1" w:rsidRDefault="00E311F1" w:rsidP="006334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434"/>
    <w:rsid w:val="00013C64"/>
    <w:rsid w:val="0004611F"/>
    <w:rsid w:val="00046B8B"/>
    <w:rsid w:val="00052B49"/>
    <w:rsid w:val="000A5E56"/>
    <w:rsid w:val="00140A8C"/>
    <w:rsid w:val="00201E36"/>
    <w:rsid w:val="00241E54"/>
    <w:rsid w:val="002449E7"/>
    <w:rsid w:val="002468D0"/>
    <w:rsid w:val="002613C9"/>
    <w:rsid w:val="0026483A"/>
    <w:rsid w:val="00284716"/>
    <w:rsid w:val="00284AC2"/>
    <w:rsid w:val="002A6875"/>
    <w:rsid w:val="002D3F58"/>
    <w:rsid w:val="00331454"/>
    <w:rsid w:val="00337DA7"/>
    <w:rsid w:val="003664CC"/>
    <w:rsid w:val="00385901"/>
    <w:rsid w:val="003A3627"/>
    <w:rsid w:val="003B24CF"/>
    <w:rsid w:val="004B5291"/>
    <w:rsid w:val="004C60F9"/>
    <w:rsid w:val="00552AA5"/>
    <w:rsid w:val="00583DD5"/>
    <w:rsid w:val="005912DE"/>
    <w:rsid w:val="005D1BA0"/>
    <w:rsid w:val="00633434"/>
    <w:rsid w:val="006470CF"/>
    <w:rsid w:val="00696975"/>
    <w:rsid w:val="00714FA9"/>
    <w:rsid w:val="007600C3"/>
    <w:rsid w:val="007617AD"/>
    <w:rsid w:val="00794BA5"/>
    <w:rsid w:val="007E3343"/>
    <w:rsid w:val="007E72D0"/>
    <w:rsid w:val="008046F6"/>
    <w:rsid w:val="008C1F1E"/>
    <w:rsid w:val="008C394E"/>
    <w:rsid w:val="008F74E0"/>
    <w:rsid w:val="009656A8"/>
    <w:rsid w:val="00971679"/>
    <w:rsid w:val="00977338"/>
    <w:rsid w:val="009F22A4"/>
    <w:rsid w:val="009F662B"/>
    <w:rsid w:val="00A902E2"/>
    <w:rsid w:val="00B974B7"/>
    <w:rsid w:val="00B97FDF"/>
    <w:rsid w:val="00BF4D8C"/>
    <w:rsid w:val="00C03B6F"/>
    <w:rsid w:val="00C308CC"/>
    <w:rsid w:val="00C5114A"/>
    <w:rsid w:val="00CD072A"/>
    <w:rsid w:val="00D4631A"/>
    <w:rsid w:val="00D67738"/>
    <w:rsid w:val="00D74823"/>
    <w:rsid w:val="00DF3DF3"/>
    <w:rsid w:val="00E272A0"/>
    <w:rsid w:val="00E311F1"/>
    <w:rsid w:val="00E6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BD47"/>
  <w15:chartTrackingRefBased/>
  <w15:docId w15:val="{DE3BE99D-0DB6-46B2-9769-F26765FC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072A"/>
    <w:pPr>
      <w:keepNext/>
      <w:spacing w:before="240" w:after="60" w:line="276" w:lineRule="auto"/>
      <w:jc w:val="left"/>
      <w:outlineLvl w:val="1"/>
    </w:pPr>
    <w:rPr>
      <w:rFonts w:ascii="Calibri Light" w:eastAsia="Times New Roman" w:hAnsi="Calibri Light" w:cs="Calibri Light"/>
      <w:b/>
      <w:i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343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434"/>
  </w:style>
  <w:style w:type="paragraph" w:styleId="Stopka">
    <w:name w:val="footer"/>
    <w:basedOn w:val="Normalny"/>
    <w:link w:val="StopkaZnak"/>
    <w:uiPriority w:val="99"/>
    <w:unhideWhenUsed/>
    <w:rsid w:val="0063343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434"/>
  </w:style>
  <w:style w:type="character" w:styleId="Odwoaniedokomentarza">
    <w:name w:val="annotation reference"/>
    <w:basedOn w:val="Domylnaczcionkaakapitu"/>
    <w:uiPriority w:val="99"/>
    <w:semiHidden/>
    <w:unhideWhenUsed/>
    <w:rsid w:val="004C6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6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6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0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13C64"/>
    <w:pPr>
      <w:spacing w:line="240" w:lineRule="auto"/>
      <w:jc w:val="left"/>
    </w:pPr>
  </w:style>
  <w:style w:type="character" w:customStyle="1" w:styleId="Nagwek2Znak">
    <w:name w:val="Nagłówek 2 Znak"/>
    <w:basedOn w:val="Domylnaczcionkaakapitu"/>
    <w:link w:val="Nagwek2"/>
    <w:uiPriority w:val="9"/>
    <w:rsid w:val="00CD072A"/>
    <w:rPr>
      <w:rFonts w:ascii="Calibri Light" w:eastAsia="Times New Roman" w:hAnsi="Calibri Light" w:cs="Calibri Light"/>
      <w:b/>
      <w:i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2184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Marta Pietrzak</cp:lastModifiedBy>
  <cp:revision>4</cp:revision>
  <cp:lastPrinted>2024-04-24T13:00:00Z</cp:lastPrinted>
  <dcterms:created xsi:type="dcterms:W3CDTF">2024-04-18T12:07:00Z</dcterms:created>
  <dcterms:modified xsi:type="dcterms:W3CDTF">2024-04-24T13:01:00Z</dcterms:modified>
</cp:coreProperties>
</file>